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812"/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t>Додаток до рішення Дрогобицької міської ради</w:t>
      </w:r>
    </w:p>
    <w:p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18.01.2024  № 2152</w:t>
      </w: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</w:p>
    <w:p>
      <w:pPr>
        <w:spacing w:before="120" w:line="276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Програма покращення сприятливого інвестиційного клімату, формування ефективної системи управління ЗЕД на рівні підприємств Дрогобицької міської територіальної громади на 2024  рік</w:t>
      </w: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28"/>
          <w:lang w:val="uk-UA"/>
        </w:rPr>
      </w:pPr>
    </w:p>
    <w:p>
      <w:pPr>
        <w:spacing w:before="12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2024</w:t>
      </w:r>
    </w:p>
    <w:p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br w:type="page"/>
      </w:r>
    </w:p>
    <w:p>
      <w:pPr>
        <w:pStyle w:val="4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 </w:t>
      </w:r>
      <w:r>
        <w:rPr>
          <w:rFonts w:ascii="Times New Roman" w:hAnsi="Times New Roman"/>
          <w:b/>
          <w:sz w:val="28"/>
        </w:rPr>
        <w:t xml:space="preserve">Програми покращення сприятливого інвестиційного клімату, формування ефективної системи управління ЗЕД на рівні підприємств Дрогобицької міської територіальної громади на 2024  </w:t>
      </w:r>
      <w:r>
        <w:rPr>
          <w:rFonts w:ascii="Times New Roman" w:hAnsi="Times New Roman"/>
          <w:b/>
          <w:sz w:val="28"/>
          <w:szCs w:val="28"/>
        </w:rPr>
        <w:t>рік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(далі – Програма)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0"/>
        <w:gridCol w:w="6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tabs>
                <w:tab w:val="center" w:pos="2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Програми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6158" w:type="dxa"/>
            <w:shd w:val="clear" w:color="auto" w:fill="auto"/>
          </w:tcPr>
          <w:p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Програма покращення сприятливого інвестиційного клімату, формування ефективної системи управління ЗЕД на рівні підприємств Дрогобицької міської територіальної громади на 2024  </w:t>
            </w:r>
            <w:r>
              <w:rPr>
                <w:sz w:val="28"/>
                <w:szCs w:val="28"/>
                <w:lang w:val="uk-UA"/>
              </w:rPr>
              <w:t>рік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Підстави для розробки Програми</w:t>
            </w:r>
          </w:p>
        </w:tc>
        <w:tc>
          <w:tcPr>
            <w:tcW w:w="6158" w:type="dxa"/>
            <w:shd w:val="clear" w:color="auto" w:fill="auto"/>
          </w:tcPr>
          <w:p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  <w:lang w:val="uk-UA"/>
              </w:rPr>
              <w:t xml:space="preserve">акони 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lang w:val="uk-UA"/>
              </w:rPr>
              <w:t>країни: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«Про місцеве самоврядування в Україні»;</w:t>
            </w:r>
          </w:p>
          <w:p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«Про засади внутрішньої і зовнішньої політики»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«Про зовнішньоекономічну діяльність»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“Про транскордонне співробітництво</w:t>
            </w:r>
            <w:r>
              <w:rPr>
                <w:color w:val="000000"/>
                <w:sz w:val="28"/>
                <w:szCs w:val="28"/>
              </w:rPr>
              <w:t>”.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Замовник Програми</w:t>
            </w:r>
          </w:p>
        </w:tc>
        <w:tc>
          <w:tcPr>
            <w:tcW w:w="6158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Дрогобицька міська рада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6158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</w:rPr>
              <w:t>правл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ння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>нвестиц</w:t>
            </w:r>
            <w:r>
              <w:rPr>
                <w:sz w:val="28"/>
                <w:szCs w:val="28"/>
                <w:lang w:val="uk-UA"/>
              </w:rPr>
              <w:t>ій</w:t>
            </w:r>
            <w:r>
              <w:rPr>
                <w:sz w:val="28"/>
                <w:szCs w:val="28"/>
              </w:rPr>
              <w:t xml:space="preserve"> та </w:t>
            </w:r>
            <w:r>
              <w:rPr>
                <w:sz w:val="28"/>
                <w:szCs w:val="28"/>
                <w:lang w:val="uk-UA"/>
              </w:rPr>
              <w:t xml:space="preserve">економічного розвитку </w:t>
            </w:r>
            <w:r>
              <w:rPr>
                <w:sz w:val="28"/>
                <w:szCs w:val="28"/>
              </w:rPr>
              <w:t>виконкому Дрогобицької міської ради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158" w:type="dxa"/>
            <w:shd w:val="clear" w:color="auto" w:fill="auto"/>
          </w:tcPr>
          <w:p>
            <w:pPr>
              <w:tabs>
                <w:tab w:val="left" w:pos="4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управління інвестицій та економічного розвитку;</w:t>
            </w:r>
          </w:p>
          <w:p>
            <w:pPr>
              <w:tabs>
                <w:tab w:val="left" w:pos="4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організаційний відділ;</w:t>
            </w:r>
          </w:p>
          <w:p>
            <w:pPr>
              <w:tabs>
                <w:tab w:val="left" w:pos="4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суб’єкти господарювання Дрогобицької міської територіальної громади</w:t>
            </w:r>
          </w:p>
          <w:p>
            <w:pPr>
              <w:tabs>
                <w:tab w:val="left" w:pos="456"/>
              </w:tabs>
              <w:rPr>
                <w:sz w:val="28"/>
                <w:szCs w:val="28"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Розпорядник бюджетних коштів</w:t>
            </w:r>
          </w:p>
        </w:tc>
        <w:tc>
          <w:tcPr>
            <w:tcW w:w="6158" w:type="dxa"/>
            <w:shd w:val="clear" w:color="auto" w:fill="auto"/>
          </w:tcPr>
          <w:p>
            <w:pPr>
              <w:tabs>
                <w:tab w:val="left" w:pos="45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Дрогобицької міської ради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6158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Активізація надходження іноземних інвестицій в економіку регіону, залучення коштів міжнародної технічної допомоги, збільшення експорту товарів та послуг і розвиток міжнародної діяльності в Дрогобицькій міській територіальній громаді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6158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0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джерела фінансування заходів Програми</w:t>
            </w:r>
          </w:p>
        </w:tc>
        <w:tc>
          <w:tcPr>
            <w:tcW w:w="6158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Дрогобицької міської територіальної громади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3470" w:type="dxa"/>
            <w:shd w:val="clear" w:color="auto" w:fill="auto"/>
          </w:tcPr>
          <w:p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за кошти бюджету Дрогобицької міської територіальної громади</w:t>
            </w:r>
          </w:p>
          <w:p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158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200 000,00 грн.</w:t>
            </w:r>
          </w:p>
        </w:tc>
      </w:tr>
    </w:tbl>
    <w:p>
      <w:pPr>
        <w:ind w:firstLine="567"/>
        <w:jc w:val="center"/>
        <w:rPr>
          <w:b/>
          <w:sz w:val="28"/>
          <w:szCs w:val="28"/>
        </w:rPr>
      </w:pP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інвестицій </w:t>
      </w: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економічного розвитку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Леся ЛАЗУНДА</w:t>
      </w:r>
    </w:p>
    <w:p>
      <w:pPr>
        <w:ind w:firstLine="567"/>
        <w:jc w:val="center"/>
        <w:rPr>
          <w:b/>
          <w:sz w:val="28"/>
          <w:szCs w:val="28"/>
          <w:lang w:val="uk-UA"/>
        </w:rPr>
      </w:pPr>
    </w:p>
    <w:p>
      <w:pPr>
        <w:ind w:firstLine="567"/>
        <w:jc w:val="center"/>
        <w:rPr>
          <w:b/>
          <w:sz w:val="28"/>
          <w:szCs w:val="28"/>
        </w:rPr>
      </w:pPr>
    </w:p>
    <w:p>
      <w:pPr>
        <w:spacing w:after="12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Визначення проблеми, на розв’язання якої спрямована </w:t>
      </w:r>
      <w:r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</w:rPr>
        <w:t>рограма</w:t>
      </w:r>
    </w:p>
    <w:p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Унаслідок переходу російської агресії в активну фазу бойових дій реалізувалися ймовірні, але водночас і малоочікувані загрози зовнішньоторговельній безпеці держави. Зовнішня загроза порушення суверенітету й цілісності держави, військової агресії та втрати частин території має системний характер і загрожує функціонуванню всієї системи національної безпеки. Важливим завданням є стабілізація зовнішньоторговельної діяльності, забезпечення збуту продукції вітчизняних виробників на зарубіжних ринках і надходження товарів критичного імпорту в достатньому обсязі, ураховуючи зміни функціонування економіки регіонів в умовах воєнного стану. </w:t>
      </w:r>
    </w:p>
    <w:p>
      <w:pPr>
        <w:pStyle w:val="5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процесі виконання Програми можливі зміни і доповнення які  затверджуватиме  Дрогобицька міська рада.</w:t>
      </w:r>
    </w:p>
    <w:p>
      <w:pPr>
        <w:ind w:firstLine="567"/>
        <w:jc w:val="both"/>
        <w:rPr>
          <w:sz w:val="28"/>
          <w:szCs w:val="28"/>
        </w:rPr>
      </w:pPr>
    </w:p>
    <w:p>
      <w:pPr>
        <w:spacing w:after="120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Програми</w:t>
      </w:r>
    </w:p>
    <w:p>
      <w:pPr>
        <w:pStyle w:val="22"/>
        <w:ind w:firstLine="709"/>
      </w:pPr>
      <w:r>
        <w:rPr>
          <w:szCs w:val="28"/>
        </w:rPr>
        <w:t xml:space="preserve">Метою Програми є </w:t>
      </w:r>
      <w:r>
        <w:t>Метою Програми є створення необхідних умов для:</w:t>
      </w:r>
    </w:p>
    <w:p>
      <w:pPr>
        <w:pStyle w:val="22"/>
        <w:ind w:firstLine="709"/>
      </w:pPr>
      <w:r>
        <w:t>залучення іноземних інвестицій, новітніх технологій та кращого іноземного управлінського досвіду;</w:t>
      </w:r>
    </w:p>
    <w:p>
      <w:pPr>
        <w:pStyle w:val="22"/>
        <w:ind w:firstLine="709"/>
      </w:pPr>
      <w:r>
        <w:t xml:space="preserve">  розвитку торговельно-економічного, інвестиційного, культурного, соціального, агропромислового та інших напрямів співробітництва Дрогобицької міської територіальної громади з адміністративно-територіальними одиницями іноземних держав на засадах взаємної вигоди та у відповідності із регіональними інтересами;</w:t>
      </w:r>
    </w:p>
    <w:p>
      <w:pPr>
        <w:pStyle w:val="22"/>
        <w:ind w:firstLine="709"/>
      </w:pPr>
      <w:r>
        <w:t>встановлення та поглиблення економічних, інвестиційних, соціальних, освітніх, екологічних, культурних, туристичних та інших відносин з регіонами іноземних країн;</w:t>
      </w:r>
    </w:p>
    <w:p>
      <w:pPr>
        <w:pStyle w:val="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створення сприятливих умов, що стимулюють торгівлю та інновації для зростання експорту; </w:t>
      </w:r>
    </w:p>
    <w:p>
      <w:pPr>
        <w:pStyle w:val="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розвиток послуг з підтримки бізнесу та торгівлі, здатних підвищити конкурентоспроможність підприємств, зокрема малих та середніх;</w:t>
      </w:r>
    </w:p>
    <w:p>
      <w:pPr>
        <w:pStyle w:val="5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удосконалення навичок і компетенцій підприємств, зокрема малих та середніх (підприємництва), необхідних для участі в міжнародній торгівлі,</w:t>
      </w:r>
    </w:p>
    <w:p>
      <w:pPr>
        <w:pStyle w:val="22"/>
        <w:ind w:firstLine="709"/>
      </w:pPr>
      <w:r>
        <w:t>підвищення поінформованості міжнародного співтовариства про Дрогобицьку міську територіальну громаду, його економічні та інвестиційні можливості,  а також формування позитивного міжнародного іміджу України в цілому,  Львівської області та Дрогобицької міської територіальної громади зокрема;</w:t>
      </w:r>
    </w:p>
    <w:p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щорічне зростання кількості проведених заходів міжнародного характеру, що свідчитиме про формування сприятливого клімату для подальшого розвитку міжнародних відносин між Дрогобицькою міською територіальною громадою та іноземними партнерами як важливої складової соціально-економічного розвитку регіону.</w:t>
      </w:r>
    </w:p>
    <w:p>
      <w:pPr>
        <w:jc w:val="center"/>
        <w:rPr>
          <w:color w:val="FF0000"/>
          <w:spacing w:val="-4"/>
          <w:sz w:val="28"/>
          <w:szCs w:val="28"/>
          <w:lang w:val="uk-UA"/>
        </w:rPr>
      </w:pPr>
    </w:p>
    <w:p>
      <w:pPr>
        <w:spacing w:after="120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Обґрунтування шляхів і засобів розв’язання проблем, обсягів і джерел фінансування програми</w:t>
      </w:r>
    </w:p>
    <w:p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має стати дієвим інструментом реалізації державної політики</w:t>
      </w:r>
      <w:r>
        <w:rPr>
          <w:sz w:val="28"/>
          <w:szCs w:val="28"/>
          <w:lang w:val="uk-UA"/>
        </w:rPr>
        <w:br w:type="textWrapping"/>
      </w:r>
      <w:r>
        <w:rPr>
          <w:sz w:val="28"/>
          <w:szCs w:val="28"/>
          <w:lang w:val="uk-UA"/>
        </w:rPr>
        <w:t>у сфері розвитку експортного потенціалу громади, європейської інтеграції, покращення міжнародного іміджу, поглиблення співробітництва з іноземними регіонами-партнерами, закордонними українцями та залучення міжнародної технічної допомоги. Її перевагою є можливість забезпечення комплексного підходу до розв’язання проблеми розвитку міжнародного співробітництва та зовнішньоекономічної діяльності.</w:t>
      </w:r>
    </w:p>
    <w:p>
      <w:pPr>
        <w:ind w:firstLine="709"/>
        <w:jc w:val="both"/>
        <w:rPr>
          <w:sz w:val="16"/>
          <w:szCs w:val="16"/>
          <w:lang w:val="uk-UA"/>
        </w:rPr>
      </w:pPr>
    </w:p>
    <w:p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Проблему передбачається</w:t>
      </w:r>
      <w:r>
        <w:rPr>
          <w:sz w:val="28"/>
          <w:szCs w:val="28"/>
          <w:lang w:val="uk-UA"/>
        </w:rPr>
        <w:t xml:space="preserve"> розв’язати шляхом:</w:t>
      </w:r>
    </w:p>
    <w:p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активізації інформаційної роботи, спрямованої на просування експортного, інвестиційного та туристичного потенціалу Дрогобицької міської територіальної громади;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стратегічних пріоритетів розвитку співробітництва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та використання потенціалу регіонів-партнерів у вирішенні нагальних питань соціально-економічного розвитку району;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оптимізації співпраці з іноземними регіонами-партнерами;</w:t>
      </w:r>
    </w:p>
    <w:p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налагодження й розширення співпраці з міжнародними організаціями, а також з органами влади, дипломатичними представництвами, консульськими установами, іншими організаціями іноземних держав;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виготовлення інформаційної та презентаційної продукції про </w:t>
      </w:r>
      <w:r>
        <w:rPr>
          <w:sz w:val="28"/>
          <w:szCs w:val="28"/>
          <w:lang w:val="uk-UA"/>
        </w:rPr>
        <w:t xml:space="preserve">Дрогобицьку міську територіальну громаду </w:t>
      </w:r>
      <w:r>
        <w:rPr>
          <w:sz w:val="28"/>
          <w:szCs w:val="28"/>
        </w:rPr>
        <w:t xml:space="preserve"> на рівні сучасних міжнародних стандартів;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здійснення заходів міжнародного характеру за участю представників іноземних установ та організацій, дипломатичного корпусу;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широкого представлення місцевих товаровиробників у ході міжнародно-виставкових заходів як в Україні, так і за кордоном;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використання потенціалу та ресурсів співпраці з регіонами-партнерами, встановлення нових взаємовигідних стосунків з адміністративно-територіальними одиницями іноземних країн;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підготовки та написання проєктів у рамках програм фінансової допомоги Європейського Союзу, міжнародних організацій та країн-донорів;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організації та проведення міжнародних семінарів, конференцій, форумів, фестивалів та виставок, спрямованих на поглиблення співпраці з іноземними регіонами й міжнародними організаціями;</w:t>
      </w:r>
    </w:p>
    <w:p>
      <w:pPr>
        <w:ind w:right="-2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організації та здійснення заходів, спрямованих на популяризацію громади за кордоном і формування стійкого позитивного </w:t>
      </w:r>
      <w:r>
        <w:rPr>
          <w:sz w:val="28"/>
          <w:szCs w:val="28"/>
          <w:lang w:val="uk-UA"/>
        </w:rPr>
        <w:t>Дрогобицької міської територіальної громади</w:t>
      </w:r>
      <w:r>
        <w:rPr>
          <w:sz w:val="28"/>
          <w:szCs w:val="28"/>
        </w:rPr>
        <w:t xml:space="preserve">. </w:t>
      </w:r>
    </w:p>
    <w:p>
      <w:pPr>
        <w:ind w:firstLine="567"/>
        <w:jc w:val="both"/>
        <w:rPr>
          <w:sz w:val="28"/>
          <w:szCs w:val="28"/>
          <w:lang w:val="uk-UA"/>
        </w:rPr>
      </w:pP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Фінансування заходів Програми здійснюється в межах коштів, передбачених у </w:t>
      </w:r>
      <w:r>
        <w:rPr>
          <w:sz w:val="28"/>
          <w:szCs w:val="28"/>
          <w:lang w:val="uk-UA"/>
        </w:rPr>
        <w:t xml:space="preserve">міському </w:t>
      </w:r>
      <w:r>
        <w:rPr>
          <w:sz w:val="28"/>
          <w:szCs w:val="28"/>
        </w:rPr>
        <w:t>бюджеті на відповідний рік.</w:t>
      </w:r>
    </w:p>
    <w:p>
      <w:pPr>
        <w:spacing w:after="120"/>
        <w:ind w:firstLine="567"/>
        <w:jc w:val="center"/>
        <w:rPr>
          <w:b/>
          <w:sz w:val="28"/>
          <w:szCs w:val="28"/>
          <w:lang w:val="uk-UA"/>
        </w:rPr>
      </w:pPr>
    </w:p>
    <w:p>
      <w:pPr>
        <w:spacing w:after="120"/>
        <w:ind w:firstLine="567"/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b/>
          <w:sz w:val="28"/>
          <w:szCs w:val="28"/>
        </w:rPr>
        <w:t xml:space="preserve">Перелік завдань і заходів </w:t>
      </w:r>
      <w:r>
        <w:rPr>
          <w:b/>
          <w:sz w:val="28"/>
        </w:rPr>
        <w:t>Програм</w:t>
      </w:r>
      <w:r>
        <w:rPr>
          <w:b/>
          <w:sz w:val="28"/>
          <w:lang w:val="uk-UA"/>
        </w:rPr>
        <w:t>и, результативні показники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Завдання і заходи з виконання Програми визначені у додатку до Програми.</w:t>
      </w:r>
    </w:p>
    <w:p>
      <w:pPr>
        <w:ind w:firstLine="709"/>
        <w:jc w:val="both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</w:rPr>
        <w:t>Очікувані результати, ефективність Програми</w:t>
      </w:r>
    </w:p>
    <w:p>
      <w:pPr>
        <w:jc w:val="center"/>
        <w:rPr>
          <w:b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Виконання Програми дасть можливість:</w:t>
      </w:r>
    </w:p>
    <w:p>
      <w:pPr>
        <w:ind w:firstLine="720"/>
        <w:rPr>
          <w:sz w:val="28"/>
          <w:szCs w:val="28"/>
        </w:rPr>
      </w:pPr>
      <w:r>
        <w:rPr>
          <w:sz w:val="28"/>
          <w:szCs w:val="28"/>
        </w:rPr>
        <w:t>щорічно збільшувати обсяги експорту товарів з пропорційним зростанням виробництва, розширювати ринки збуту, залучати прямі іноземні інвестиції.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залучати міжнародну технічну допомогу для реалізації соціальних, екологічних, інвестиційних та інших проєктів;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розширити формат співпраці з регіонами-партнерами, встановити нові перспективні зв‘язки з адміністративно-територіальними одиницями іноземних країн;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використовувати потенціал міжнародного співробітництва для популяризації </w:t>
      </w:r>
      <w:r>
        <w:rPr>
          <w:sz w:val="28"/>
          <w:szCs w:val="28"/>
          <w:lang w:val="uk-UA"/>
        </w:rPr>
        <w:t xml:space="preserve">Дрогобицької міської територіальної громади </w:t>
      </w:r>
      <w:r>
        <w:rPr>
          <w:sz w:val="28"/>
          <w:szCs w:val="28"/>
        </w:rPr>
        <w:t xml:space="preserve"> за кордоном;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підвищити професійну кваліфікацію фахівців органів місцевого самоврядування щодо залучення міжнародної технічної допомоги, здійснення зовнішніх зносин, програм фінансової допомоги Європейського Союзу та інших питань;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вивчати кращий іноземний досвід в різних сферах діяльності з метою його подальшого запровадження в громаді;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представити </w:t>
      </w:r>
      <w:r>
        <w:rPr>
          <w:sz w:val="28"/>
          <w:szCs w:val="28"/>
          <w:lang w:val="uk-UA"/>
        </w:rPr>
        <w:t>Дрогобицьку міську територіальну громаду</w:t>
      </w:r>
      <w:r>
        <w:rPr>
          <w:sz w:val="28"/>
          <w:szCs w:val="28"/>
        </w:rPr>
        <w:t>, її економічні та інвестиційні можливості, культурні та історичні традиції під час проведення та участі у міжнародних конференціях, бізнес-форумах та інших заходах міжнародного характеру;</w:t>
      </w:r>
    </w:p>
    <w:p>
      <w:pPr>
        <w:ind w:firstLine="709"/>
        <w:jc w:val="both"/>
        <w:rPr>
          <w:sz w:val="28"/>
          <w:szCs w:val="28"/>
        </w:rPr>
      </w:pPr>
    </w:p>
    <w:p>
      <w:pPr>
        <w:spacing w:after="120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</w:t>
      </w:r>
      <w:r>
        <w:rPr>
          <w:b/>
          <w:sz w:val="28"/>
          <w:szCs w:val="28"/>
        </w:rPr>
        <w:t>Здійснення моніторингу</w:t>
      </w:r>
      <w:r>
        <w:rPr>
          <w:b/>
          <w:sz w:val="28"/>
          <w:szCs w:val="28"/>
          <w:lang w:val="uk-UA"/>
        </w:rPr>
        <w:t xml:space="preserve"> Програми</w:t>
      </w:r>
    </w:p>
    <w:p>
      <w:pPr>
        <w:spacing w:after="120"/>
        <w:ind w:firstLine="567"/>
        <w:jc w:val="both"/>
        <w:rPr>
          <w:sz w:val="28"/>
          <w:szCs w:val="28"/>
        </w:rPr>
      </w:pPr>
      <w:bookmarkStart w:id="0" w:name="57"/>
      <w:bookmarkEnd w:id="0"/>
      <w:r>
        <w:rPr>
          <w:sz w:val="28"/>
          <w:szCs w:val="28"/>
        </w:rPr>
        <w:t>Система оцінювання результативності та ефективності Програми – одна з основних умов її успішного впровадження. Систему моніторингу доцільно будувати на основі оцінювання ефективності. Результати оцінювання стану реалізації Програми будуть основою для внесення розробником змін та доповнень до неї.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Моніторинг за виконанням Програми здійснюється її розробниками.</w:t>
      </w:r>
    </w:p>
    <w:p>
      <w:pPr>
        <w:spacing w:after="120"/>
        <w:ind w:firstLine="567"/>
        <w:jc w:val="both"/>
        <w:rPr>
          <w:sz w:val="28"/>
          <w:szCs w:val="28"/>
        </w:rPr>
      </w:pPr>
    </w:p>
    <w:p>
      <w:pPr>
        <w:spacing w:after="120"/>
        <w:ind w:firstLine="567"/>
        <w:jc w:val="both"/>
        <w:rPr>
          <w:sz w:val="28"/>
          <w:szCs w:val="28"/>
        </w:rPr>
      </w:pPr>
    </w:p>
    <w:p>
      <w:pPr>
        <w:spacing w:after="120"/>
        <w:ind w:firstLine="567"/>
        <w:jc w:val="both"/>
        <w:rPr>
          <w:sz w:val="28"/>
          <w:szCs w:val="28"/>
        </w:rPr>
      </w:pP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інвестицій </w:t>
      </w: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економічного розвитку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Леся ЛАЗУНДА</w:t>
      </w: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p>
      <w:pPr>
        <w:spacing w:before="120"/>
        <w:ind w:left="5670"/>
        <w:rPr>
          <w:sz w:val="28"/>
          <w:szCs w:val="28"/>
          <w:lang w:val="uk-UA"/>
        </w:rPr>
      </w:pPr>
    </w:p>
    <w:sectPr>
      <w:headerReference r:id="rId3" w:type="even"/>
      <w:pgSz w:w="11906" w:h="16838"/>
      <w:pgMar w:top="709" w:right="567" w:bottom="567" w:left="1701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ntiqua">
    <w:altName w:val="Microsoft YaHe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cademy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D31272"/>
    <w:multiLevelType w:val="multilevel"/>
    <w:tmpl w:val="23D3127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592BA8"/>
    <w:rsid w:val="00000ACB"/>
    <w:rsid w:val="00006663"/>
    <w:rsid w:val="00014B10"/>
    <w:rsid w:val="00014CD5"/>
    <w:rsid w:val="00014FD5"/>
    <w:rsid w:val="0001576D"/>
    <w:rsid w:val="00025DA2"/>
    <w:rsid w:val="000266AC"/>
    <w:rsid w:val="000310B6"/>
    <w:rsid w:val="000325C8"/>
    <w:rsid w:val="00033446"/>
    <w:rsid w:val="00033ACC"/>
    <w:rsid w:val="000344C6"/>
    <w:rsid w:val="00047F9D"/>
    <w:rsid w:val="00050EF4"/>
    <w:rsid w:val="000513D5"/>
    <w:rsid w:val="00054E74"/>
    <w:rsid w:val="00062C5B"/>
    <w:rsid w:val="000755AC"/>
    <w:rsid w:val="0008189B"/>
    <w:rsid w:val="00082E48"/>
    <w:rsid w:val="0008305E"/>
    <w:rsid w:val="00085666"/>
    <w:rsid w:val="00086460"/>
    <w:rsid w:val="000933CF"/>
    <w:rsid w:val="00093B3A"/>
    <w:rsid w:val="000A1901"/>
    <w:rsid w:val="000A7EA4"/>
    <w:rsid w:val="000B19A0"/>
    <w:rsid w:val="000B43BC"/>
    <w:rsid w:val="000B6106"/>
    <w:rsid w:val="000B614E"/>
    <w:rsid w:val="000B6567"/>
    <w:rsid w:val="000D01C3"/>
    <w:rsid w:val="000D5643"/>
    <w:rsid w:val="000D7049"/>
    <w:rsid w:val="000E187B"/>
    <w:rsid w:val="000E4D83"/>
    <w:rsid w:val="000F15DA"/>
    <w:rsid w:val="000F3A4D"/>
    <w:rsid w:val="000F60DA"/>
    <w:rsid w:val="000F664C"/>
    <w:rsid w:val="0010246C"/>
    <w:rsid w:val="00103AC6"/>
    <w:rsid w:val="00104EF9"/>
    <w:rsid w:val="00105B5E"/>
    <w:rsid w:val="001074CA"/>
    <w:rsid w:val="00107F19"/>
    <w:rsid w:val="001128F7"/>
    <w:rsid w:val="00113A84"/>
    <w:rsid w:val="001159F7"/>
    <w:rsid w:val="00122B39"/>
    <w:rsid w:val="001242DD"/>
    <w:rsid w:val="00125AA6"/>
    <w:rsid w:val="00130527"/>
    <w:rsid w:val="00133CD6"/>
    <w:rsid w:val="001409E8"/>
    <w:rsid w:val="00143A07"/>
    <w:rsid w:val="00144326"/>
    <w:rsid w:val="00146BB3"/>
    <w:rsid w:val="00147C4E"/>
    <w:rsid w:val="00150440"/>
    <w:rsid w:val="00154D63"/>
    <w:rsid w:val="00155B34"/>
    <w:rsid w:val="001576EB"/>
    <w:rsid w:val="00161DE2"/>
    <w:rsid w:val="00165C18"/>
    <w:rsid w:val="001662A5"/>
    <w:rsid w:val="00167213"/>
    <w:rsid w:val="001709C0"/>
    <w:rsid w:val="001716A8"/>
    <w:rsid w:val="00171C1E"/>
    <w:rsid w:val="00184A98"/>
    <w:rsid w:val="00184DD9"/>
    <w:rsid w:val="00185325"/>
    <w:rsid w:val="00191669"/>
    <w:rsid w:val="001937C7"/>
    <w:rsid w:val="001A3532"/>
    <w:rsid w:val="001A68F7"/>
    <w:rsid w:val="001B25E0"/>
    <w:rsid w:val="001B3A80"/>
    <w:rsid w:val="001B6501"/>
    <w:rsid w:val="001D0DD3"/>
    <w:rsid w:val="001E0B31"/>
    <w:rsid w:val="001E4B0B"/>
    <w:rsid w:val="001E766E"/>
    <w:rsid w:val="001F145C"/>
    <w:rsid w:val="001F5AC8"/>
    <w:rsid w:val="00205319"/>
    <w:rsid w:val="002060F9"/>
    <w:rsid w:val="00217421"/>
    <w:rsid w:val="00220AF6"/>
    <w:rsid w:val="00221BA5"/>
    <w:rsid w:val="0022222D"/>
    <w:rsid w:val="002227AA"/>
    <w:rsid w:val="00231682"/>
    <w:rsid w:val="00235E3E"/>
    <w:rsid w:val="0023740E"/>
    <w:rsid w:val="00237412"/>
    <w:rsid w:val="00237972"/>
    <w:rsid w:val="002407DF"/>
    <w:rsid w:val="00250E4A"/>
    <w:rsid w:val="00265EDF"/>
    <w:rsid w:val="00271142"/>
    <w:rsid w:val="00277A40"/>
    <w:rsid w:val="002829BA"/>
    <w:rsid w:val="00285A73"/>
    <w:rsid w:val="002863A9"/>
    <w:rsid w:val="00286EDC"/>
    <w:rsid w:val="0028718F"/>
    <w:rsid w:val="002877DB"/>
    <w:rsid w:val="00287B3B"/>
    <w:rsid w:val="002A1892"/>
    <w:rsid w:val="002A407F"/>
    <w:rsid w:val="002A5098"/>
    <w:rsid w:val="002A5FC7"/>
    <w:rsid w:val="002C198A"/>
    <w:rsid w:val="002C4F46"/>
    <w:rsid w:val="002D0C25"/>
    <w:rsid w:val="002D1A0C"/>
    <w:rsid w:val="002E1FED"/>
    <w:rsid w:val="002E3A14"/>
    <w:rsid w:val="002E450B"/>
    <w:rsid w:val="002E4572"/>
    <w:rsid w:val="002E7763"/>
    <w:rsid w:val="002E7E14"/>
    <w:rsid w:val="002F152C"/>
    <w:rsid w:val="002F65E2"/>
    <w:rsid w:val="00300DF5"/>
    <w:rsid w:val="00303B1C"/>
    <w:rsid w:val="003143E5"/>
    <w:rsid w:val="00320115"/>
    <w:rsid w:val="00323544"/>
    <w:rsid w:val="00323A29"/>
    <w:rsid w:val="00324D2A"/>
    <w:rsid w:val="0033030C"/>
    <w:rsid w:val="00336F26"/>
    <w:rsid w:val="00337BC8"/>
    <w:rsid w:val="00342A20"/>
    <w:rsid w:val="00343DB2"/>
    <w:rsid w:val="00350B8E"/>
    <w:rsid w:val="003576A9"/>
    <w:rsid w:val="00357C4F"/>
    <w:rsid w:val="003600F2"/>
    <w:rsid w:val="003630A0"/>
    <w:rsid w:val="00371245"/>
    <w:rsid w:val="00375E1C"/>
    <w:rsid w:val="00377F64"/>
    <w:rsid w:val="003849C7"/>
    <w:rsid w:val="00386C61"/>
    <w:rsid w:val="00387F21"/>
    <w:rsid w:val="003949E8"/>
    <w:rsid w:val="003C0382"/>
    <w:rsid w:val="003C188E"/>
    <w:rsid w:val="003C20D3"/>
    <w:rsid w:val="003C248A"/>
    <w:rsid w:val="003C30DF"/>
    <w:rsid w:val="003D0234"/>
    <w:rsid w:val="003D1CFE"/>
    <w:rsid w:val="003E2AE8"/>
    <w:rsid w:val="003E6EF3"/>
    <w:rsid w:val="003F6175"/>
    <w:rsid w:val="0040656D"/>
    <w:rsid w:val="00406E2B"/>
    <w:rsid w:val="0040722B"/>
    <w:rsid w:val="004126F9"/>
    <w:rsid w:val="00412B33"/>
    <w:rsid w:val="0041587E"/>
    <w:rsid w:val="00422334"/>
    <w:rsid w:val="004246CC"/>
    <w:rsid w:val="004259A7"/>
    <w:rsid w:val="00430B07"/>
    <w:rsid w:val="00434F68"/>
    <w:rsid w:val="004426A9"/>
    <w:rsid w:val="00446944"/>
    <w:rsid w:val="00451DB6"/>
    <w:rsid w:val="00455040"/>
    <w:rsid w:val="00456630"/>
    <w:rsid w:val="00473073"/>
    <w:rsid w:val="004816E7"/>
    <w:rsid w:val="0048226D"/>
    <w:rsid w:val="00483942"/>
    <w:rsid w:val="0048532D"/>
    <w:rsid w:val="00486742"/>
    <w:rsid w:val="004870A0"/>
    <w:rsid w:val="004907DE"/>
    <w:rsid w:val="00493351"/>
    <w:rsid w:val="004A0E4A"/>
    <w:rsid w:val="004A1967"/>
    <w:rsid w:val="004A4516"/>
    <w:rsid w:val="004A49F8"/>
    <w:rsid w:val="004A6016"/>
    <w:rsid w:val="004A6C73"/>
    <w:rsid w:val="004A70FB"/>
    <w:rsid w:val="004B1BDA"/>
    <w:rsid w:val="004B27F0"/>
    <w:rsid w:val="004B5ADA"/>
    <w:rsid w:val="004B5B6D"/>
    <w:rsid w:val="004B74A8"/>
    <w:rsid w:val="004C472B"/>
    <w:rsid w:val="004C71EC"/>
    <w:rsid w:val="004D5A0C"/>
    <w:rsid w:val="004D7A95"/>
    <w:rsid w:val="004E2E55"/>
    <w:rsid w:val="004E798F"/>
    <w:rsid w:val="004F0931"/>
    <w:rsid w:val="004F0996"/>
    <w:rsid w:val="0050294A"/>
    <w:rsid w:val="005055F0"/>
    <w:rsid w:val="00505606"/>
    <w:rsid w:val="0050589B"/>
    <w:rsid w:val="00506226"/>
    <w:rsid w:val="0050721A"/>
    <w:rsid w:val="00514534"/>
    <w:rsid w:val="00516910"/>
    <w:rsid w:val="005217CE"/>
    <w:rsid w:val="00523B90"/>
    <w:rsid w:val="00523E08"/>
    <w:rsid w:val="00524E81"/>
    <w:rsid w:val="0052524A"/>
    <w:rsid w:val="00525C30"/>
    <w:rsid w:val="0052693E"/>
    <w:rsid w:val="005302FF"/>
    <w:rsid w:val="00531042"/>
    <w:rsid w:val="00544D47"/>
    <w:rsid w:val="005458AB"/>
    <w:rsid w:val="005548F6"/>
    <w:rsid w:val="0055510D"/>
    <w:rsid w:val="00562460"/>
    <w:rsid w:val="00563E5D"/>
    <w:rsid w:val="005654AB"/>
    <w:rsid w:val="00570719"/>
    <w:rsid w:val="00572C06"/>
    <w:rsid w:val="005732B9"/>
    <w:rsid w:val="00575937"/>
    <w:rsid w:val="0057693F"/>
    <w:rsid w:val="00580B2E"/>
    <w:rsid w:val="00581ED9"/>
    <w:rsid w:val="0058434E"/>
    <w:rsid w:val="00584BB6"/>
    <w:rsid w:val="005909FA"/>
    <w:rsid w:val="00592BA8"/>
    <w:rsid w:val="005935B1"/>
    <w:rsid w:val="00596C36"/>
    <w:rsid w:val="005A32E8"/>
    <w:rsid w:val="005A7137"/>
    <w:rsid w:val="005A7D95"/>
    <w:rsid w:val="005B0572"/>
    <w:rsid w:val="005B06DE"/>
    <w:rsid w:val="005B19D3"/>
    <w:rsid w:val="005C6C66"/>
    <w:rsid w:val="005E0010"/>
    <w:rsid w:val="005E1E12"/>
    <w:rsid w:val="005E4FBA"/>
    <w:rsid w:val="005E5490"/>
    <w:rsid w:val="005E5C3D"/>
    <w:rsid w:val="005F3E5B"/>
    <w:rsid w:val="0060097E"/>
    <w:rsid w:val="0060246E"/>
    <w:rsid w:val="00604C59"/>
    <w:rsid w:val="006111F3"/>
    <w:rsid w:val="006127CF"/>
    <w:rsid w:val="006168C7"/>
    <w:rsid w:val="00616F23"/>
    <w:rsid w:val="00622B0D"/>
    <w:rsid w:val="00624A64"/>
    <w:rsid w:val="00627394"/>
    <w:rsid w:val="00627546"/>
    <w:rsid w:val="0063227F"/>
    <w:rsid w:val="00641C75"/>
    <w:rsid w:val="00642961"/>
    <w:rsid w:val="00652C6E"/>
    <w:rsid w:val="00660459"/>
    <w:rsid w:val="0066136A"/>
    <w:rsid w:val="0066401C"/>
    <w:rsid w:val="00665A66"/>
    <w:rsid w:val="006671BC"/>
    <w:rsid w:val="00670852"/>
    <w:rsid w:val="00681835"/>
    <w:rsid w:val="00683C72"/>
    <w:rsid w:val="0068789C"/>
    <w:rsid w:val="00692560"/>
    <w:rsid w:val="00693E6E"/>
    <w:rsid w:val="006A1A12"/>
    <w:rsid w:val="006A4B71"/>
    <w:rsid w:val="006B0A40"/>
    <w:rsid w:val="006B3C38"/>
    <w:rsid w:val="006B5D17"/>
    <w:rsid w:val="006C08AD"/>
    <w:rsid w:val="006C1FAD"/>
    <w:rsid w:val="006C33E5"/>
    <w:rsid w:val="006C6F64"/>
    <w:rsid w:val="006D2553"/>
    <w:rsid w:val="006D2A82"/>
    <w:rsid w:val="006D7C9E"/>
    <w:rsid w:val="006E0AFC"/>
    <w:rsid w:val="006E445A"/>
    <w:rsid w:val="006F11A9"/>
    <w:rsid w:val="006F2CE5"/>
    <w:rsid w:val="006F6154"/>
    <w:rsid w:val="006F6803"/>
    <w:rsid w:val="00702B62"/>
    <w:rsid w:val="00705022"/>
    <w:rsid w:val="007135AE"/>
    <w:rsid w:val="00713FF0"/>
    <w:rsid w:val="00714562"/>
    <w:rsid w:val="00716551"/>
    <w:rsid w:val="00716A47"/>
    <w:rsid w:val="00717F87"/>
    <w:rsid w:val="007218B0"/>
    <w:rsid w:val="00722ADD"/>
    <w:rsid w:val="007252F1"/>
    <w:rsid w:val="0073064A"/>
    <w:rsid w:val="00736B5A"/>
    <w:rsid w:val="007431D2"/>
    <w:rsid w:val="00743B53"/>
    <w:rsid w:val="00747753"/>
    <w:rsid w:val="00750EB7"/>
    <w:rsid w:val="00756F0C"/>
    <w:rsid w:val="00757847"/>
    <w:rsid w:val="0076239B"/>
    <w:rsid w:val="007638C5"/>
    <w:rsid w:val="00764635"/>
    <w:rsid w:val="007704A6"/>
    <w:rsid w:val="00780D74"/>
    <w:rsid w:val="00782B76"/>
    <w:rsid w:val="007855B0"/>
    <w:rsid w:val="0079035C"/>
    <w:rsid w:val="00797952"/>
    <w:rsid w:val="007A0196"/>
    <w:rsid w:val="007A1B52"/>
    <w:rsid w:val="007B29F5"/>
    <w:rsid w:val="007B429D"/>
    <w:rsid w:val="007B48B7"/>
    <w:rsid w:val="007B71F3"/>
    <w:rsid w:val="007B7FF5"/>
    <w:rsid w:val="007C08D0"/>
    <w:rsid w:val="007D2632"/>
    <w:rsid w:val="007D2E94"/>
    <w:rsid w:val="007D3954"/>
    <w:rsid w:val="007D45FD"/>
    <w:rsid w:val="007D7D35"/>
    <w:rsid w:val="007E43AC"/>
    <w:rsid w:val="007E7D51"/>
    <w:rsid w:val="007F15F3"/>
    <w:rsid w:val="007F3072"/>
    <w:rsid w:val="0080478F"/>
    <w:rsid w:val="00805B76"/>
    <w:rsid w:val="00805D91"/>
    <w:rsid w:val="008119C9"/>
    <w:rsid w:val="0081516D"/>
    <w:rsid w:val="00815F7F"/>
    <w:rsid w:val="0081689A"/>
    <w:rsid w:val="008207CE"/>
    <w:rsid w:val="00831D3D"/>
    <w:rsid w:val="00832281"/>
    <w:rsid w:val="00832C20"/>
    <w:rsid w:val="00846DB1"/>
    <w:rsid w:val="0086491E"/>
    <w:rsid w:val="00867522"/>
    <w:rsid w:val="00870387"/>
    <w:rsid w:val="00871948"/>
    <w:rsid w:val="008746D5"/>
    <w:rsid w:val="00877CD5"/>
    <w:rsid w:val="00882202"/>
    <w:rsid w:val="008822CD"/>
    <w:rsid w:val="008830F6"/>
    <w:rsid w:val="00890261"/>
    <w:rsid w:val="00891309"/>
    <w:rsid w:val="008914B6"/>
    <w:rsid w:val="00894C13"/>
    <w:rsid w:val="008A55AC"/>
    <w:rsid w:val="008A6AE0"/>
    <w:rsid w:val="008B3DE5"/>
    <w:rsid w:val="008B52B3"/>
    <w:rsid w:val="008D03CF"/>
    <w:rsid w:val="008D3A39"/>
    <w:rsid w:val="008E01DC"/>
    <w:rsid w:val="008E1C4B"/>
    <w:rsid w:val="008E233B"/>
    <w:rsid w:val="008E5E80"/>
    <w:rsid w:val="008F405E"/>
    <w:rsid w:val="008F7903"/>
    <w:rsid w:val="00904F8E"/>
    <w:rsid w:val="009114E3"/>
    <w:rsid w:val="00913F1C"/>
    <w:rsid w:val="00925A53"/>
    <w:rsid w:val="00926381"/>
    <w:rsid w:val="00930203"/>
    <w:rsid w:val="00934CC4"/>
    <w:rsid w:val="009464D5"/>
    <w:rsid w:val="0095029E"/>
    <w:rsid w:val="00951260"/>
    <w:rsid w:val="00952396"/>
    <w:rsid w:val="009536A7"/>
    <w:rsid w:val="00954B58"/>
    <w:rsid w:val="009619ED"/>
    <w:rsid w:val="0096675B"/>
    <w:rsid w:val="009724EF"/>
    <w:rsid w:val="00977741"/>
    <w:rsid w:val="00977E3B"/>
    <w:rsid w:val="0098337B"/>
    <w:rsid w:val="00985C0C"/>
    <w:rsid w:val="00991EE9"/>
    <w:rsid w:val="0099289D"/>
    <w:rsid w:val="00994DAB"/>
    <w:rsid w:val="009952EE"/>
    <w:rsid w:val="009955FD"/>
    <w:rsid w:val="00995836"/>
    <w:rsid w:val="00996E1F"/>
    <w:rsid w:val="009A549A"/>
    <w:rsid w:val="009B34FE"/>
    <w:rsid w:val="009B4577"/>
    <w:rsid w:val="009B5DC5"/>
    <w:rsid w:val="009D0086"/>
    <w:rsid w:val="009D22B2"/>
    <w:rsid w:val="009D3723"/>
    <w:rsid w:val="009D3AF6"/>
    <w:rsid w:val="009D4EF1"/>
    <w:rsid w:val="009D6A16"/>
    <w:rsid w:val="009E07B7"/>
    <w:rsid w:val="009E12A2"/>
    <w:rsid w:val="009E2DFC"/>
    <w:rsid w:val="009F1D58"/>
    <w:rsid w:val="009F44FD"/>
    <w:rsid w:val="009F5495"/>
    <w:rsid w:val="009F7A93"/>
    <w:rsid w:val="00A03E33"/>
    <w:rsid w:val="00A11604"/>
    <w:rsid w:val="00A11943"/>
    <w:rsid w:val="00A241ED"/>
    <w:rsid w:val="00A255B2"/>
    <w:rsid w:val="00A32933"/>
    <w:rsid w:val="00A34E8C"/>
    <w:rsid w:val="00A42BA9"/>
    <w:rsid w:val="00A543BD"/>
    <w:rsid w:val="00A54AA8"/>
    <w:rsid w:val="00A56DDC"/>
    <w:rsid w:val="00A62BF3"/>
    <w:rsid w:val="00A636B4"/>
    <w:rsid w:val="00A6430B"/>
    <w:rsid w:val="00A72A02"/>
    <w:rsid w:val="00A94485"/>
    <w:rsid w:val="00A964B6"/>
    <w:rsid w:val="00AA020C"/>
    <w:rsid w:val="00AA3422"/>
    <w:rsid w:val="00AA3F03"/>
    <w:rsid w:val="00AB01EB"/>
    <w:rsid w:val="00AB242E"/>
    <w:rsid w:val="00AB5151"/>
    <w:rsid w:val="00AB5600"/>
    <w:rsid w:val="00AD07B2"/>
    <w:rsid w:val="00AE3A95"/>
    <w:rsid w:val="00AE4286"/>
    <w:rsid w:val="00AF38FB"/>
    <w:rsid w:val="00AF59D3"/>
    <w:rsid w:val="00B03A22"/>
    <w:rsid w:val="00B24434"/>
    <w:rsid w:val="00B250B1"/>
    <w:rsid w:val="00B42778"/>
    <w:rsid w:val="00B44417"/>
    <w:rsid w:val="00B56ADB"/>
    <w:rsid w:val="00B5753B"/>
    <w:rsid w:val="00B6169E"/>
    <w:rsid w:val="00B64321"/>
    <w:rsid w:val="00B713AD"/>
    <w:rsid w:val="00B850D0"/>
    <w:rsid w:val="00B90D29"/>
    <w:rsid w:val="00B93D7F"/>
    <w:rsid w:val="00BA3879"/>
    <w:rsid w:val="00BA5F69"/>
    <w:rsid w:val="00BB32E4"/>
    <w:rsid w:val="00BB59AC"/>
    <w:rsid w:val="00BC1AB5"/>
    <w:rsid w:val="00BC512D"/>
    <w:rsid w:val="00BC7AFD"/>
    <w:rsid w:val="00BC7EC3"/>
    <w:rsid w:val="00BD79D2"/>
    <w:rsid w:val="00BE0B07"/>
    <w:rsid w:val="00BE371D"/>
    <w:rsid w:val="00BE5A42"/>
    <w:rsid w:val="00BF2A8C"/>
    <w:rsid w:val="00BF787E"/>
    <w:rsid w:val="00C01099"/>
    <w:rsid w:val="00C03CB1"/>
    <w:rsid w:val="00C06E76"/>
    <w:rsid w:val="00C12657"/>
    <w:rsid w:val="00C136D4"/>
    <w:rsid w:val="00C140D9"/>
    <w:rsid w:val="00C17C34"/>
    <w:rsid w:val="00C25F9D"/>
    <w:rsid w:val="00C26EBB"/>
    <w:rsid w:val="00C32E4C"/>
    <w:rsid w:val="00C41C23"/>
    <w:rsid w:val="00C4243F"/>
    <w:rsid w:val="00C47CA0"/>
    <w:rsid w:val="00C507C9"/>
    <w:rsid w:val="00C508B0"/>
    <w:rsid w:val="00C5595A"/>
    <w:rsid w:val="00C5649C"/>
    <w:rsid w:val="00C56E27"/>
    <w:rsid w:val="00C6352B"/>
    <w:rsid w:val="00C63D5F"/>
    <w:rsid w:val="00C66253"/>
    <w:rsid w:val="00C707E4"/>
    <w:rsid w:val="00C71F26"/>
    <w:rsid w:val="00C73213"/>
    <w:rsid w:val="00C73218"/>
    <w:rsid w:val="00C7407F"/>
    <w:rsid w:val="00C77375"/>
    <w:rsid w:val="00C8097B"/>
    <w:rsid w:val="00C90A96"/>
    <w:rsid w:val="00C92D22"/>
    <w:rsid w:val="00C92F19"/>
    <w:rsid w:val="00C93E7D"/>
    <w:rsid w:val="00CA7666"/>
    <w:rsid w:val="00CB29E6"/>
    <w:rsid w:val="00CB680F"/>
    <w:rsid w:val="00CC009F"/>
    <w:rsid w:val="00CD30BE"/>
    <w:rsid w:val="00CD3A5A"/>
    <w:rsid w:val="00CE0EBD"/>
    <w:rsid w:val="00CE5308"/>
    <w:rsid w:val="00CF0D6D"/>
    <w:rsid w:val="00CF191F"/>
    <w:rsid w:val="00D008A3"/>
    <w:rsid w:val="00D019FC"/>
    <w:rsid w:val="00D02AF6"/>
    <w:rsid w:val="00D053CB"/>
    <w:rsid w:val="00D1179D"/>
    <w:rsid w:val="00D158DF"/>
    <w:rsid w:val="00D16CE0"/>
    <w:rsid w:val="00D2232C"/>
    <w:rsid w:val="00D274FA"/>
    <w:rsid w:val="00D3035D"/>
    <w:rsid w:val="00D31148"/>
    <w:rsid w:val="00D33339"/>
    <w:rsid w:val="00D351ED"/>
    <w:rsid w:val="00D364CB"/>
    <w:rsid w:val="00D476E7"/>
    <w:rsid w:val="00D50A49"/>
    <w:rsid w:val="00D5360F"/>
    <w:rsid w:val="00D5438C"/>
    <w:rsid w:val="00D5626D"/>
    <w:rsid w:val="00D6457E"/>
    <w:rsid w:val="00D70E5A"/>
    <w:rsid w:val="00D7176C"/>
    <w:rsid w:val="00D71FD1"/>
    <w:rsid w:val="00D75A64"/>
    <w:rsid w:val="00D860FC"/>
    <w:rsid w:val="00D9056B"/>
    <w:rsid w:val="00D9698A"/>
    <w:rsid w:val="00D96A8A"/>
    <w:rsid w:val="00DA01C9"/>
    <w:rsid w:val="00DA644A"/>
    <w:rsid w:val="00DD2D9A"/>
    <w:rsid w:val="00DE099C"/>
    <w:rsid w:val="00DE2A6A"/>
    <w:rsid w:val="00DE3EB2"/>
    <w:rsid w:val="00DE42E0"/>
    <w:rsid w:val="00DE59ED"/>
    <w:rsid w:val="00DF6D06"/>
    <w:rsid w:val="00DF72CD"/>
    <w:rsid w:val="00DF7924"/>
    <w:rsid w:val="00E0576C"/>
    <w:rsid w:val="00E07251"/>
    <w:rsid w:val="00E153EF"/>
    <w:rsid w:val="00E17E18"/>
    <w:rsid w:val="00E24299"/>
    <w:rsid w:val="00E252BF"/>
    <w:rsid w:val="00E266A4"/>
    <w:rsid w:val="00E269B2"/>
    <w:rsid w:val="00E31DB8"/>
    <w:rsid w:val="00E3667D"/>
    <w:rsid w:val="00E44C92"/>
    <w:rsid w:val="00E45417"/>
    <w:rsid w:val="00E50CC3"/>
    <w:rsid w:val="00E54F04"/>
    <w:rsid w:val="00E61B11"/>
    <w:rsid w:val="00E71941"/>
    <w:rsid w:val="00E71952"/>
    <w:rsid w:val="00E72A99"/>
    <w:rsid w:val="00E72C03"/>
    <w:rsid w:val="00E746CC"/>
    <w:rsid w:val="00E75C04"/>
    <w:rsid w:val="00E76803"/>
    <w:rsid w:val="00E81BE6"/>
    <w:rsid w:val="00E81E89"/>
    <w:rsid w:val="00E95633"/>
    <w:rsid w:val="00EA2446"/>
    <w:rsid w:val="00EA4118"/>
    <w:rsid w:val="00EB06F2"/>
    <w:rsid w:val="00EC2598"/>
    <w:rsid w:val="00EC5F1F"/>
    <w:rsid w:val="00ED107C"/>
    <w:rsid w:val="00EE00B6"/>
    <w:rsid w:val="00EE169E"/>
    <w:rsid w:val="00EE23B6"/>
    <w:rsid w:val="00EE2C58"/>
    <w:rsid w:val="00EF0804"/>
    <w:rsid w:val="00EF0A6F"/>
    <w:rsid w:val="00EF565E"/>
    <w:rsid w:val="00F13AE7"/>
    <w:rsid w:val="00F14B20"/>
    <w:rsid w:val="00F1524F"/>
    <w:rsid w:val="00F15587"/>
    <w:rsid w:val="00F237CF"/>
    <w:rsid w:val="00F23A66"/>
    <w:rsid w:val="00F27CA4"/>
    <w:rsid w:val="00F314C5"/>
    <w:rsid w:val="00F32FF5"/>
    <w:rsid w:val="00F3319E"/>
    <w:rsid w:val="00F40AF0"/>
    <w:rsid w:val="00F422DA"/>
    <w:rsid w:val="00F436D1"/>
    <w:rsid w:val="00F45035"/>
    <w:rsid w:val="00F5093C"/>
    <w:rsid w:val="00F51B46"/>
    <w:rsid w:val="00F5526C"/>
    <w:rsid w:val="00F554CC"/>
    <w:rsid w:val="00F72E3E"/>
    <w:rsid w:val="00F975DB"/>
    <w:rsid w:val="00FA0A95"/>
    <w:rsid w:val="00FA0C9D"/>
    <w:rsid w:val="00FA1797"/>
    <w:rsid w:val="00FA20AC"/>
    <w:rsid w:val="00FA60E3"/>
    <w:rsid w:val="00FA6F2B"/>
    <w:rsid w:val="00FB0AA2"/>
    <w:rsid w:val="00FB4C8A"/>
    <w:rsid w:val="00FB4D77"/>
    <w:rsid w:val="00FC12B8"/>
    <w:rsid w:val="00FD2C12"/>
    <w:rsid w:val="00FD6CD8"/>
    <w:rsid w:val="00FD7B19"/>
    <w:rsid w:val="00FE0197"/>
    <w:rsid w:val="00FF0B46"/>
    <w:rsid w:val="00FF4438"/>
    <w:rsid w:val="00FF7BA7"/>
    <w:rsid w:val="2755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nhideWhenUsed="0" w:uiPriority="9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semiHidden="0" w:name="toc 1"/>
    <w:lsdException w:uiPriority="39" w:semiHidden="0" w:name="toc 2"/>
    <w:lsdException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99" w:semiHidden="0" w:name="Body Text"/>
    <w:lsdException w:unhideWhenUsed="0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3">
    <w:name w:val="heading 2"/>
    <w:basedOn w:val="1"/>
    <w:next w:val="1"/>
    <w:link w:val="47"/>
    <w:semiHidden/>
    <w:unhideWhenUsed/>
    <w:qFormat/>
    <w:uiPriority w:val="0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6091" w:themeColor="accent1" w:themeShade="BF"/>
      <w:sz w:val="26"/>
      <w:szCs w:val="26"/>
    </w:rPr>
  </w:style>
  <w:style w:type="paragraph" w:styleId="4">
    <w:name w:val="heading 3"/>
    <w:basedOn w:val="1"/>
    <w:next w:val="1"/>
    <w:link w:val="48"/>
    <w:semiHidden/>
    <w:unhideWhenUsed/>
    <w:qFormat/>
    <w:uiPriority w:val="0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366091" w:themeColor="accent1" w:themeShade="BF"/>
    </w:rPr>
  </w:style>
  <w:style w:type="paragraph" w:styleId="6">
    <w:name w:val="heading 5"/>
    <w:basedOn w:val="1"/>
    <w:next w:val="1"/>
    <w:link w:val="29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49"/>
    <w:semiHidden/>
    <w:unhideWhenUsed/>
    <w:qFormat/>
    <w:uiPriority w:val="0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7"/>
    <w:basedOn w:val="1"/>
    <w:next w:val="1"/>
    <w:link w:val="50"/>
    <w:semiHidden/>
    <w:unhideWhenUsed/>
    <w:qFormat/>
    <w:uiPriority w:val="0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9"/>
    <w:basedOn w:val="1"/>
    <w:next w:val="1"/>
    <w:link w:val="30"/>
    <w:qFormat/>
    <w:uiPriority w:val="9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0"/>
    <w:unhideWhenUsed/>
    <w:uiPriority w:val="99"/>
    <w:rPr>
      <w:rFonts w:cs="Times New Roman"/>
      <w:color w:val="0000FF"/>
      <w:u w:val="single"/>
    </w:rPr>
  </w:style>
  <w:style w:type="character" w:styleId="13">
    <w:name w:val="page number"/>
    <w:basedOn w:val="10"/>
    <w:uiPriority w:val="99"/>
    <w:rPr>
      <w:rFonts w:cs="Times New Roman"/>
    </w:rPr>
  </w:style>
  <w:style w:type="character" w:styleId="14">
    <w:name w:val="Strong"/>
    <w:basedOn w:val="10"/>
    <w:qFormat/>
    <w:uiPriority w:val="22"/>
    <w:rPr>
      <w:b/>
      <w:bCs/>
    </w:rPr>
  </w:style>
  <w:style w:type="paragraph" w:styleId="15">
    <w:name w:val="Balloon Text"/>
    <w:basedOn w:val="1"/>
    <w:link w:val="44"/>
    <w:semiHidden/>
    <w:unhideWhenUsed/>
    <w:uiPriority w:val="0"/>
    <w:rPr>
      <w:rFonts w:ascii="Segoe UI" w:hAnsi="Segoe UI" w:cs="Segoe UI"/>
      <w:sz w:val="18"/>
      <w:szCs w:val="18"/>
    </w:rPr>
  </w:style>
  <w:style w:type="paragraph" w:styleId="16">
    <w:name w:val="Body Text Indent 3"/>
    <w:basedOn w:val="1"/>
    <w:link w:val="40"/>
    <w:uiPriority w:val="99"/>
    <w:pPr>
      <w:spacing w:after="120"/>
      <w:ind w:left="283"/>
    </w:pPr>
    <w:rPr>
      <w:sz w:val="16"/>
      <w:szCs w:val="16"/>
    </w:rPr>
  </w:style>
  <w:style w:type="paragraph" w:styleId="17">
    <w:name w:val="header"/>
    <w:basedOn w:val="1"/>
    <w:link w:val="38"/>
    <w:uiPriority w:val="99"/>
    <w:pPr>
      <w:tabs>
        <w:tab w:val="center" w:pos="4677"/>
        <w:tab w:val="right" w:pos="9355"/>
      </w:tabs>
    </w:pPr>
  </w:style>
  <w:style w:type="paragraph" w:styleId="18">
    <w:name w:val="Body Text"/>
    <w:basedOn w:val="1"/>
    <w:link w:val="33"/>
    <w:uiPriority w:val="99"/>
    <w:pPr>
      <w:spacing w:after="120"/>
    </w:pPr>
  </w:style>
  <w:style w:type="paragraph" w:styleId="19">
    <w:name w:val="toc 1"/>
    <w:basedOn w:val="1"/>
    <w:next w:val="1"/>
    <w:unhideWhenUsed/>
    <w:uiPriority w:val="39"/>
    <w:pPr>
      <w:tabs>
        <w:tab w:val="right" w:leader="dot" w:pos="9629"/>
      </w:tabs>
      <w:spacing w:line="310" w:lineRule="exact"/>
      <w:jc w:val="both"/>
    </w:pPr>
    <w:rPr>
      <w:sz w:val="28"/>
      <w:szCs w:val="28"/>
      <w:lang w:val="uk-UA" w:eastAsia="en-US"/>
    </w:rPr>
  </w:style>
  <w:style w:type="paragraph" w:styleId="20">
    <w:name w:val="toc 3"/>
    <w:basedOn w:val="1"/>
    <w:next w:val="1"/>
    <w:unhideWhenUsed/>
    <w:uiPriority w:val="39"/>
    <w:pPr>
      <w:tabs>
        <w:tab w:val="right" w:leader="dot" w:pos="9628"/>
      </w:tabs>
      <w:spacing w:line="300" w:lineRule="exact"/>
      <w:ind w:right="-142"/>
      <w:jc w:val="both"/>
    </w:pPr>
    <w:rPr>
      <w:spacing w:val="-2"/>
      <w:sz w:val="28"/>
      <w:szCs w:val="28"/>
      <w:lang w:val="uk-UA" w:eastAsia="en-US"/>
    </w:rPr>
  </w:style>
  <w:style w:type="paragraph" w:styleId="21">
    <w:name w:val="toc 2"/>
    <w:basedOn w:val="1"/>
    <w:next w:val="1"/>
    <w:unhideWhenUsed/>
    <w:uiPriority w:val="39"/>
    <w:pPr>
      <w:widowControl w:val="0"/>
      <w:tabs>
        <w:tab w:val="right" w:leader="dot" w:pos="9628"/>
      </w:tabs>
      <w:ind w:left="142"/>
    </w:pPr>
    <w:rPr>
      <w:rFonts w:ascii="Calibri" w:hAnsi="Calibri"/>
      <w:sz w:val="22"/>
      <w:szCs w:val="22"/>
      <w:lang w:val="uk-UA" w:eastAsia="en-US"/>
    </w:rPr>
  </w:style>
  <w:style w:type="paragraph" w:styleId="22">
    <w:name w:val="Body Text Indent"/>
    <w:basedOn w:val="1"/>
    <w:link w:val="31"/>
    <w:uiPriority w:val="99"/>
    <w:pPr>
      <w:ind w:firstLine="720"/>
      <w:jc w:val="both"/>
    </w:pPr>
    <w:rPr>
      <w:sz w:val="28"/>
      <w:lang w:val="uk-UA"/>
    </w:rPr>
  </w:style>
  <w:style w:type="paragraph" w:styleId="23">
    <w:name w:val="footer"/>
    <w:basedOn w:val="1"/>
    <w:link w:val="39"/>
    <w:uiPriority w:val="99"/>
    <w:pPr>
      <w:tabs>
        <w:tab w:val="center" w:pos="4677"/>
        <w:tab w:val="right" w:pos="9355"/>
      </w:tabs>
    </w:pPr>
  </w:style>
  <w:style w:type="paragraph" w:styleId="24">
    <w:name w:val="Body Text 3"/>
    <w:basedOn w:val="1"/>
    <w:link w:val="37"/>
    <w:uiPriority w:val="99"/>
    <w:pPr>
      <w:spacing w:after="120"/>
    </w:pPr>
    <w:rPr>
      <w:sz w:val="16"/>
      <w:szCs w:val="16"/>
    </w:rPr>
  </w:style>
  <w:style w:type="paragraph" w:styleId="25">
    <w:name w:val="Body Text Indent 2"/>
    <w:basedOn w:val="1"/>
    <w:link w:val="36"/>
    <w:uiPriority w:val="99"/>
    <w:pPr>
      <w:spacing w:after="120" w:line="480" w:lineRule="auto"/>
      <w:ind w:left="283"/>
    </w:pPr>
  </w:style>
  <w:style w:type="paragraph" w:styleId="26">
    <w:name w:val="HTML Preformatted"/>
    <w:basedOn w:val="1"/>
    <w:link w:val="46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table" w:styleId="27">
    <w:name w:val="Table Grid"/>
    <w:basedOn w:val="1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Заголовок 1 Знак"/>
    <w:basedOn w:val="10"/>
    <w:link w:val="2"/>
    <w:locked/>
    <w:uiPriority w:val="9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character" w:customStyle="1" w:styleId="29">
    <w:name w:val="Заголовок 5 Знак"/>
    <w:basedOn w:val="10"/>
    <w:link w:val="6"/>
    <w:semiHidden/>
    <w:uiPriority w:val="9"/>
    <w:rPr>
      <w:rFonts w:asciiTheme="minorHAnsi" w:hAnsiTheme="minorHAnsi" w:eastAsiaTheme="minorEastAsia" w:cstheme="minorBidi"/>
      <w:b/>
      <w:bCs/>
      <w:i/>
      <w:iCs/>
      <w:sz w:val="26"/>
      <w:szCs w:val="26"/>
      <w:lang w:eastAsia="ru-RU"/>
    </w:rPr>
  </w:style>
  <w:style w:type="character" w:customStyle="1" w:styleId="30">
    <w:name w:val="Заголовок 9 Знак"/>
    <w:basedOn w:val="10"/>
    <w:link w:val="9"/>
    <w:semiHidden/>
    <w:uiPriority w:val="9"/>
    <w:rPr>
      <w:rFonts w:asciiTheme="majorHAnsi" w:hAnsiTheme="majorHAnsi" w:eastAsiaTheme="majorEastAsia" w:cstheme="majorBidi"/>
      <w:sz w:val="22"/>
      <w:szCs w:val="22"/>
      <w:lang w:eastAsia="ru-RU"/>
    </w:rPr>
  </w:style>
  <w:style w:type="character" w:customStyle="1" w:styleId="31">
    <w:name w:val="Основной текст с отступом Знак"/>
    <w:basedOn w:val="10"/>
    <w:link w:val="22"/>
    <w:semiHidden/>
    <w:uiPriority w:val="99"/>
    <w:rPr>
      <w:sz w:val="24"/>
      <w:szCs w:val="24"/>
      <w:lang w:eastAsia="ru-RU"/>
    </w:rPr>
  </w:style>
  <w:style w:type="paragraph" w:customStyle="1" w:styleId="32">
    <w:name w:val="Підпис1"/>
    <w:basedOn w:val="1"/>
    <w:uiPriority w:val="0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val="uk-UA"/>
    </w:rPr>
  </w:style>
  <w:style w:type="character" w:customStyle="1" w:styleId="33">
    <w:name w:val="Основной текст Знак"/>
    <w:basedOn w:val="10"/>
    <w:link w:val="18"/>
    <w:semiHidden/>
    <w:uiPriority w:val="99"/>
    <w:rPr>
      <w:sz w:val="24"/>
      <w:szCs w:val="24"/>
      <w:lang w:eastAsia="ru-RU"/>
    </w:rPr>
  </w:style>
  <w:style w:type="paragraph" w:customStyle="1" w:styleId="34">
    <w:name w:val="1 Знак Знак Знак Знак"/>
    <w:basedOn w:val="1"/>
    <w:uiPriority w:val="0"/>
    <w:rPr>
      <w:rFonts w:ascii="Verdana" w:hAnsi="Verdana" w:cs="Verdana"/>
      <w:sz w:val="20"/>
      <w:szCs w:val="20"/>
      <w:lang w:val="en-US" w:eastAsia="en-US"/>
    </w:rPr>
  </w:style>
  <w:style w:type="paragraph" w:customStyle="1" w:styleId="35">
    <w:name w:val="Знак Знак Знак Знак Знак Знак Знак"/>
    <w:basedOn w:val="1"/>
    <w:uiPriority w:val="0"/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Основной текст с отступом 2 Знак"/>
    <w:basedOn w:val="10"/>
    <w:link w:val="25"/>
    <w:semiHidden/>
    <w:uiPriority w:val="99"/>
    <w:rPr>
      <w:sz w:val="24"/>
      <w:szCs w:val="24"/>
      <w:lang w:eastAsia="ru-RU"/>
    </w:rPr>
  </w:style>
  <w:style w:type="character" w:customStyle="1" w:styleId="37">
    <w:name w:val="Основной текст 3 Знак"/>
    <w:basedOn w:val="10"/>
    <w:link w:val="24"/>
    <w:semiHidden/>
    <w:uiPriority w:val="99"/>
    <w:rPr>
      <w:sz w:val="16"/>
      <w:szCs w:val="16"/>
      <w:lang w:eastAsia="ru-RU"/>
    </w:rPr>
  </w:style>
  <w:style w:type="character" w:customStyle="1" w:styleId="38">
    <w:name w:val="Верхний колонтитул Знак"/>
    <w:basedOn w:val="10"/>
    <w:link w:val="17"/>
    <w:uiPriority w:val="99"/>
    <w:rPr>
      <w:sz w:val="24"/>
      <w:szCs w:val="24"/>
      <w:lang w:eastAsia="ru-RU"/>
    </w:rPr>
  </w:style>
  <w:style w:type="character" w:customStyle="1" w:styleId="39">
    <w:name w:val="Нижний колонтитул Знак"/>
    <w:basedOn w:val="10"/>
    <w:link w:val="23"/>
    <w:semiHidden/>
    <w:uiPriority w:val="99"/>
    <w:rPr>
      <w:sz w:val="24"/>
      <w:szCs w:val="24"/>
      <w:lang w:eastAsia="ru-RU"/>
    </w:rPr>
  </w:style>
  <w:style w:type="character" w:customStyle="1" w:styleId="40">
    <w:name w:val="Основной текст с отступом 3 Знак"/>
    <w:basedOn w:val="10"/>
    <w:link w:val="16"/>
    <w:semiHidden/>
    <w:uiPriority w:val="99"/>
    <w:rPr>
      <w:sz w:val="16"/>
      <w:szCs w:val="16"/>
      <w:lang w:eastAsia="ru-RU"/>
    </w:rPr>
  </w:style>
  <w:style w:type="paragraph" w:customStyle="1" w:styleId="41">
    <w:name w:val="Знак Знак Знак Знак Знак Знак Знак Знак Знак Знак"/>
    <w:basedOn w:val="1"/>
    <w:uiPriority w:val="0"/>
    <w:rPr>
      <w:rFonts w:ascii="Verdana" w:hAnsi="Verdana" w:cs="Verdana"/>
      <w:sz w:val="20"/>
      <w:szCs w:val="20"/>
      <w:lang w:val="uk-UA" w:eastAsia="en-US"/>
    </w:rPr>
  </w:style>
  <w:style w:type="paragraph" w:customStyle="1" w:styleId="42">
    <w:name w:val="Знак"/>
    <w:basedOn w:val="1"/>
    <w:uiPriority w:val="0"/>
    <w:rPr>
      <w:rFonts w:ascii="Verdana" w:hAnsi="Verdana" w:cs="Verdana"/>
      <w:sz w:val="20"/>
      <w:szCs w:val="20"/>
      <w:lang w:val="en-US" w:eastAsia="en-US"/>
    </w:rPr>
  </w:style>
  <w:style w:type="paragraph" w:styleId="43">
    <w:name w:val="List Paragraph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4">
    <w:name w:val="Текст выноски Знак"/>
    <w:basedOn w:val="10"/>
    <w:link w:val="15"/>
    <w:semiHidden/>
    <w:uiPriority w:val="0"/>
    <w:rPr>
      <w:rFonts w:ascii="Segoe UI" w:hAnsi="Segoe UI" w:cs="Segoe UI"/>
      <w:sz w:val="18"/>
      <w:szCs w:val="18"/>
      <w:lang w:eastAsia="ru-RU"/>
    </w:rPr>
  </w:style>
  <w:style w:type="paragraph" w:customStyle="1" w:styleId="45">
    <w:name w:val="Shapka Documentu"/>
    <w:basedOn w:val="1"/>
    <w:uiPriority w:val="99"/>
    <w:pPr>
      <w:keepNext/>
      <w:keepLines/>
      <w:suppressAutoHyphens/>
      <w:spacing w:after="240"/>
      <w:ind w:left="3969"/>
      <w:jc w:val="center"/>
    </w:pPr>
    <w:rPr>
      <w:rFonts w:ascii="Antiqua" w:hAnsi="Antiqua"/>
      <w:sz w:val="26"/>
      <w:szCs w:val="20"/>
      <w:lang w:val="uk-UA" w:eastAsia="ar-SA"/>
    </w:rPr>
  </w:style>
  <w:style w:type="character" w:customStyle="1" w:styleId="46">
    <w:name w:val="Стандартный HTML Знак"/>
    <w:basedOn w:val="10"/>
    <w:link w:val="26"/>
    <w:semiHidden/>
    <w:uiPriority w:val="99"/>
    <w:rPr>
      <w:rFonts w:ascii="Courier New" w:hAnsi="Courier New" w:cs="Courier New"/>
      <w:lang w:val="uk-UA" w:eastAsia="uk-UA"/>
    </w:rPr>
  </w:style>
  <w:style w:type="character" w:customStyle="1" w:styleId="47">
    <w:name w:val="Заголовок 2 Знак"/>
    <w:basedOn w:val="10"/>
    <w:link w:val="3"/>
    <w:semiHidden/>
    <w:uiPriority w:val="0"/>
    <w:rPr>
      <w:rFonts w:asciiTheme="majorHAnsi" w:hAnsiTheme="majorHAnsi" w:eastAsiaTheme="majorEastAsia" w:cstheme="majorBidi"/>
      <w:color w:val="366091" w:themeColor="accent1" w:themeShade="BF"/>
      <w:sz w:val="26"/>
      <w:szCs w:val="26"/>
      <w:lang w:eastAsia="ru-RU"/>
    </w:rPr>
  </w:style>
  <w:style w:type="character" w:customStyle="1" w:styleId="48">
    <w:name w:val="Заголовок 3 Знак"/>
    <w:basedOn w:val="10"/>
    <w:link w:val="4"/>
    <w:semiHidden/>
    <w:uiPriority w:val="0"/>
    <w:rPr>
      <w:rFonts w:asciiTheme="majorHAnsi" w:hAnsiTheme="majorHAnsi" w:eastAsiaTheme="majorEastAsia" w:cstheme="majorBidi"/>
      <w:color w:val="243F61" w:themeColor="accent1" w:themeShade="7F"/>
      <w:sz w:val="24"/>
      <w:szCs w:val="24"/>
      <w:lang w:eastAsia="ru-RU"/>
    </w:rPr>
  </w:style>
  <w:style w:type="character" w:customStyle="1" w:styleId="49">
    <w:name w:val="Заголовок 6 Знак"/>
    <w:basedOn w:val="10"/>
    <w:link w:val="7"/>
    <w:semiHidden/>
    <w:uiPriority w:val="0"/>
    <w:rPr>
      <w:rFonts w:asciiTheme="majorHAnsi" w:hAnsiTheme="majorHAnsi" w:eastAsiaTheme="majorEastAsia" w:cstheme="majorBidi"/>
      <w:color w:val="243F61" w:themeColor="accent1" w:themeShade="7F"/>
      <w:sz w:val="24"/>
      <w:szCs w:val="24"/>
      <w:lang w:eastAsia="ru-RU"/>
    </w:rPr>
  </w:style>
  <w:style w:type="character" w:customStyle="1" w:styleId="50">
    <w:name w:val="Заголовок 7 Знак"/>
    <w:basedOn w:val="10"/>
    <w:link w:val="8"/>
    <w:semiHidden/>
    <w:uiPriority w:val="0"/>
    <w:rPr>
      <w:rFonts w:asciiTheme="majorHAnsi" w:hAnsiTheme="majorHAnsi" w:eastAsiaTheme="majorEastAsia" w:cstheme="majorBidi"/>
      <w:i/>
      <w:iCs/>
      <w:color w:val="243F61" w:themeColor="accent1" w:themeShade="7F"/>
      <w:sz w:val="24"/>
      <w:szCs w:val="24"/>
      <w:lang w:eastAsia="ru-RU"/>
    </w:rPr>
  </w:style>
  <w:style w:type="character" w:customStyle="1" w:styleId="51">
    <w:name w:val="Заголовок 4 Знак"/>
    <w:basedOn w:val="10"/>
    <w:link w:val="5"/>
    <w:semiHidden/>
    <w:uiPriority w:val="0"/>
    <w:rPr>
      <w:rFonts w:asciiTheme="majorHAnsi" w:hAnsiTheme="majorHAnsi" w:eastAsiaTheme="majorEastAsia" w:cstheme="majorBidi"/>
      <w:i/>
      <w:iCs/>
      <w:color w:val="366091" w:themeColor="accent1" w:themeShade="BF"/>
      <w:sz w:val="24"/>
      <w:szCs w:val="24"/>
      <w:lang w:eastAsia="ru-RU"/>
    </w:rPr>
  </w:style>
  <w:style w:type="paragraph" w:customStyle="1" w:styleId="52">
    <w:name w:val="Стиль"/>
    <w:uiPriority w:val="0"/>
    <w:rPr>
      <w:rFonts w:ascii="Times New Roman" w:hAnsi="Times New Roman" w:eastAsia="Times New Roman" w:cs="Times New Roman"/>
      <w:lang w:val="uk-UA" w:eastAsia="ru-RU" w:bidi="ar-SA"/>
    </w:rPr>
  </w:style>
  <w:style w:type="paragraph" w:customStyle="1" w:styleId="53">
    <w:name w:val="Абзац списку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val="uk-UA"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7991A-9197-40E3-A73E-97BC8C8896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1516</Words>
  <Characters>8646</Characters>
  <Lines>72</Lines>
  <Paragraphs>20</Paragraphs>
  <TotalTime>1645</TotalTime>
  <ScaleCrop>false</ScaleCrop>
  <LinksUpToDate>false</LinksUpToDate>
  <CharactersWithSpaces>10142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2024-01-09T07:12:00Z</dcterms:created>
  <dc:creator>1</dc:creator>
  <cp:lastModifiedBy>Відділ ІТ та ана�</cp:lastModifiedBy>
  <cp:lastPrinted>2024-01-11T13:24:00Z</cp:lastPrinted>
  <dcterms:modified xsi:type="dcterms:W3CDTF">2024-01-24T06:35:07Z</dcterms:modified>
  <dc:title>Проект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7EA7026154C84D739368DAFD7324AA40_12</vt:lpwstr>
  </property>
</Properties>
</file>